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54" w:rsidRDefault="008E5C54" w:rsidP="008E5C54">
      <w:pPr>
        <w:jc w:val="both"/>
        <w:rPr>
          <w:rFonts w:ascii="Source Serif Pro" w:eastAsia="Times New Roman" w:hAnsi="Source Serif Pro"/>
          <w:b/>
          <w:color w:val="000000"/>
          <w:sz w:val="22"/>
          <w:szCs w:val="22"/>
          <w:lang w:eastAsia="de-DE"/>
        </w:rPr>
      </w:pPr>
    </w:p>
    <w:p w:rsidR="00643CD3" w:rsidRPr="008220A4" w:rsidRDefault="00643CD3" w:rsidP="00643CD3">
      <w:pPr>
        <w:jc w:val="center"/>
        <w:rPr>
          <w:rFonts w:ascii="Source Serif Pro" w:eastAsia="Times New Roman" w:hAnsi="Source Serif Pro"/>
          <w:b/>
          <w:color w:val="000000"/>
          <w:sz w:val="32"/>
          <w:szCs w:val="22"/>
          <w:lang w:val="de-AT" w:eastAsia="de-DE"/>
        </w:rPr>
      </w:pPr>
      <w:r w:rsidRPr="008220A4">
        <w:rPr>
          <w:rFonts w:ascii="Source Serif Pro" w:eastAsia="Times New Roman" w:hAnsi="Source Serif Pro"/>
          <w:b/>
          <w:color w:val="000000"/>
          <w:sz w:val="32"/>
          <w:szCs w:val="22"/>
          <w:lang w:val="de-AT" w:eastAsia="de-DE"/>
        </w:rPr>
        <w:t>Die SDGs – Nachhaltige Entwicklungsziele für Mensch und Umwelt</w:t>
      </w:r>
    </w:p>
    <w:p w:rsidR="000C5459" w:rsidRDefault="000C5459" w:rsidP="00643CD3">
      <w:pPr>
        <w:jc w:val="center"/>
        <w:rPr>
          <w:rFonts w:ascii="Source Serif Pro" w:eastAsia="Times New Roman" w:hAnsi="Source Serif Pro"/>
          <w:color w:val="000000"/>
          <w:sz w:val="22"/>
          <w:szCs w:val="22"/>
          <w:lang w:val="de-AT" w:eastAsia="de-DE"/>
        </w:rPr>
      </w:pPr>
      <w:r w:rsidRPr="0086546C">
        <w:rPr>
          <w:rFonts w:ascii="Source Serif Pro" w:eastAsia="Times New Roman" w:hAnsi="Source Serif Pro"/>
          <w:color w:val="000000"/>
          <w:sz w:val="22"/>
          <w:szCs w:val="22"/>
          <w:lang w:val="de-AT" w:eastAsia="de-DE"/>
        </w:rPr>
        <w:drawing>
          <wp:anchor distT="0" distB="0" distL="114300" distR="114300" simplePos="0" relativeHeight="251658240" behindDoc="0" locked="0" layoutInCell="1" allowOverlap="1" wp14:anchorId="1E1D4C52" wp14:editId="65059CC9">
            <wp:simplePos x="0" y="0"/>
            <wp:positionH relativeFrom="column">
              <wp:posOffset>1818005</wp:posOffset>
            </wp:positionH>
            <wp:positionV relativeFrom="paragraph">
              <wp:posOffset>101969</wp:posOffset>
            </wp:positionV>
            <wp:extent cx="3002280" cy="1227122"/>
            <wp:effectExtent l="0" t="0" r="762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12271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CD3" w:rsidRPr="0086546C" w:rsidRDefault="00643CD3" w:rsidP="00643CD3">
      <w:pPr>
        <w:jc w:val="center"/>
        <w:rPr>
          <w:rFonts w:ascii="Source Serif Pro" w:eastAsia="Times New Roman" w:hAnsi="Source Serif Pro"/>
          <w:color w:val="000000"/>
          <w:sz w:val="22"/>
          <w:szCs w:val="22"/>
          <w:lang w:val="de-AT" w:eastAsia="de-DE"/>
        </w:rPr>
      </w:pPr>
    </w:p>
    <w:p w:rsidR="000C5459" w:rsidRDefault="000C5459" w:rsidP="00643CD3">
      <w:pPr>
        <w:jc w:val="both"/>
        <w:rPr>
          <w:rFonts w:ascii="Source Serif Pro" w:eastAsia="Times New Roman" w:hAnsi="Source Serif Pro"/>
          <w:color w:val="000000"/>
          <w:szCs w:val="22"/>
          <w:lang w:val="de-AT" w:eastAsia="de-DE"/>
        </w:rPr>
      </w:pPr>
    </w:p>
    <w:p w:rsidR="000C5459" w:rsidRDefault="000C5459" w:rsidP="00643CD3">
      <w:pPr>
        <w:jc w:val="both"/>
        <w:rPr>
          <w:rFonts w:ascii="Source Serif Pro" w:eastAsia="Times New Roman" w:hAnsi="Source Serif Pro"/>
          <w:color w:val="000000"/>
          <w:szCs w:val="22"/>
          <w:lang w:val="de-AT" w:eastAsia="de-DE"/>
        </w:rPr>
      </w:pPr>
    </w:p>
    <w:p w:rsidR="000C5459" w:rsidRDefault="000C5459" w:rsidP="00643CD3">
      <w:pPr>
        <w:jc w:val="both"/>
        <w:rPr>
          <w:rFonts w:ascii="Source Serif Pro" w:eastAsia="Times New Roman" w:hAnsi="Source Serif Pro"/>
          <w:color w:val="000000"/>
          <w:szCs w:val="22"/>
          <w:lang w:val="de-AT" w:eastAsia="de-DE"/>
        </w:rPr>
      </w:pP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Im September 2015 haben die UN-Mitgliedsstaaten neue globale Ziele gegen Armut, Ungleichheit und Klimawandel beschlossen, die Sustainable Development Goals (SDGs) oder Agenda 2030. Sie gelten überall, und alle Staaten sind für deren Umsetzung auf nationaler und internationaler Ebene ver</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an</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twortlich. Die ambitionierte Agenda 2030 umfasst 17 Ziele und 169 Unterziele und zeichnet ein Bild einer Welt, in der alle Menschen ohne Hunger und Armut, in Einklang mit den öko</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logischen Grenzen unseres Planeten friedlich zusammenleben. Dabei wird ein besonderer Fokus auf die Gleichstellung der Geschlechter, hochwertige Bildung und saubere Energie und Umwelt  gelegt, sowie auf Gesundheits</w:t>
      </w:r>
      <w:r w:rsidRPr="008220A4">
        <w:rPr>
          <w:rFonts w:ascii="Source Serif Pro" w:eastAsia="Times New Roman" w:hAnsi="Source Serif Pro"/>
          <w:color w:val="000000"/>
          <w:szCs w:val="22"/>
          <w:lang w:val="de-AT" w:eastAsia="de-DE"/>
        </w:rPr>
        <w:softHyphen/>
        <w:t>fragen, nachhaltige Produktions- und Konsummodelle und den Ab</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bau von Ungleichheiten. Ebenfalls wurde eingesehen, dass nur gemeinsam durch Zusammen</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arbeit auf Augenhöhe große Herausforderun</w:t>
      </w:r>
      <w:r w:rsidRPr="008220A4">
        <w:rPr>
          <w:rFonts w:ascii="Source Serif Pro" w:eastAsia="Times New Roman" w:hAnsi="Source Serif Pro"/>
          <w:color w:val="000000"/>
          <w:szCs w:val="22"/>
          <w:lang w:val="de-AT" w:eastAsia="de-DE"/>
        </w:rPr>
        <w:softHyphen/>
        <w:t xml:space="preserve">gen bestritten werden können. </w:t>
      </w:r>
    </w:p>
    <w:p w:rsidR="00643CD3"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Das zentrale Motto der SDGs lautet „leave no one behind“. Die Ziele müssen alle Menschen er</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reichen und für alle gelten. Bisher benachteiligten Gruppen, wie Menschen mit Behinderungen kommt dadurch besondere Beachtung  zu, denn sie müssen überall einbezogen werden. Das be</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deu</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tet, dass sich die inklusive Entwicklungszusammenarbeit auf UN-Ebene durchgesetzt hat. In den Vorgängerzielen (Millennium Development Goals), die bis 2015 die Entwicklungsagenda be</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stimm</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ten, konnte davon noch keine Rede sein.</w:t>
      </w:r>
    </w:p>
    <w:p w:rsidR="00643CD3" w:rsidRPr="008220A4" w:rsidRDefault="00643CD3" w:rsidP="00643CD3">
      <w:pPr>
        <w:jc w:val="center"/>
        <w:rPr>
          <w:rFonts w:ascii="Source Serif Pro" w:eastAsia="Times New Roman" w:hAnsi="Source Serif Pro"/>
          <w:b/>
          <w:color w:val="000000"/>
          <w:sz w:val="28"/>
          <w:szCs w:val="22"/>
          <w:lang w:val="de-AT" w:eastAsia="de-DE"/>
        </w:rPr>
      </w:pPr>
      <w:r w:rsidRPr="008220A4">
        <w:rPr>
          <w:rFonts w:ascii="Source Serif Pro" w:eastAsia="Times New Roman" w:hAnsi="Source Serif Pro"/>
          <w:b/>
          <w:color w:val="000000"/>
          <w:sz w:val="28"/>
          <w:szCs w:val="22"/>
          <w:lang w:val="de-AT" w:eastAsia="de-DE"/>
        </w:rPr>
        <w:t>Menschen mit Behinderungen als wichtige Zielgruppe</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Etwa eine Milliarde Menschen oder 15% der Weltbevölkerung leben mit einer Behinderung, 80% von ihnen in Ländern des Globalen Südens. Armut und Diskriminierung erzeugen Behinderung, und Behinderung erzeugt Armut. Durch Armut verursachte Mangel- und Unterernährung kann bei</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spiels</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weise zu Behinderungen führen. Außerdem würden durch eine umfassende Gesundheits</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ver</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sorgung viele Behinderungen gar nicht erst entstehen. Mädchen und Frauen mit Behin</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der</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un</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gen gelten als speziell gefährdete Gruppen, da diese besonders häufig mit Diskriminierung und G</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ewalt konfrontiert werden. Aus diesen u.a. Gründen ist nachhaltige Entwicklung nur dann mö</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glich, wenn sie Menschen mit Behinderungen einbezieht. </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Natürlich muss die inklusive Gestaltung der Agenda 2030 auf allen Ebenen ernst genommen und um</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ge</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setzt werden. Den wichtigsten Wegweiser dafür stellt das von allen UN Staaten 2006 ver</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ab</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schiedete „Übereinkommen über die Rechte von Menschen mit Behinderungen“ (CRPD: Con</w:t>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vention on the Rights of Persons with Disabilities).  </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Formal fallen Menschen mit Behinderungen in den SDGs unter besonders schutzbedürftige oder ver</w:t>
      </w:r>
      <w:r w:rsidR="002E44A6">
        <w:rPr>
          <w:rFonts w:ascii="Source Serif Pro" w:eastAsia="Times New Roman" w:hAnsi="Source Serif Pro"/>
          <w:color w:val="000000"/>
          <w:szCs w:val="22"/>
          <w:lang w:val="de-AT" w:eastAsia="de-DE"/>
        </w:rPr>
        <w:softHyphen/>
      </w:r>
      <w:r w:rsidR="002E44A6">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wundbare Gruppen, auf die durchgehend Bezug genommen wird. In fünf der 17 neuen Ziele werden Menschen mit Behinderungen jedoch auch explizit erwähnt. </w:t>
      </w:r>
    </w:p>
    <w:p w:rsidR="008220A4" w:rsidRDefault="008220A4" w:rsidP="00643CD3">
      <w:pPr>
        <w:jc w:val="both"/>
        <w:rPr>
          <w:rFonts w:ascii="Source Serif Pro" w:eastAsia="Times New Roman" w:hAnsi="Source Serif Pro"/>
          <w:color w:val="000000"/>
          <w:sz w:val="22"/>
          <w:szCs w:val="22"/>
          <w:lang w:val="de-AT" w:eastAsia="de-DE"/>
        </w:rPr>
      </w:pPr>
    </w:p>
    <w:p w:rsidR="00643CD3" w:rsidRDefault="00643CD3" w:rsidP="00643CD3">
      <w:pPr>
        <w:jc w:val="both"/>
        <w:rPr>
          <w:rFonts w:ascii="Source Serif Pro" w:eastAsia="Times New Roman" w:hAnsi="Source Serif Pro"/>
          <w:color w:val="000000"/>
          <w:sz w:val="22"/>
          <w:szCs w:val="22"/>
          <w:lang w:val="de-AT" w:eastAsia="de-DE"/>
        </w:rPr>
      </w:pPr>
    </w:p>
    <w:p w:rsidR="00643CD3" w:rsidRPr="008220A4" w:rsidRDefault="00643CD3" w:rsidP="00643CD3">
      <w:pPr>
        <w:jc w:val="both"/>
        <w:rPr>
          <w:rFonts w:ascii="Source Serif Pro" w:eastAsia="Times New Roman" w:hAnsi="Source Serif Pro"/>
          <w:b/>
          <w:color w:val="000000"/>
          <w:szCs w:val="22"/>
          <w:lang w:val="de-AT" w:eastAsia="de-DE"/>
        </w:rPr>
      </w:pPr>
      <w:bookmarkStart w:id="0" w:name="_GoBack"/>
      <w:bookmarkEnd w:id="0"/>
      <w:r w:rsidRPr="008220A4">
        <w:rPr>
          <w:rFonts w:ascii="Source Serif Pro" w:eastAsia="Times New Roman" w:hAnsi="Source Serif Pro"/>
          <w:b/>
          <w:color w:val="000000"/>
          <w:szCs w:val="22"/>
          <w:lang w:val="de-AT" w:eastAsia="de-DE"/>
        </w:rPr>
        <w:lastRenderedPageBreak/>
        <w:t>Hochwertige Bildung (Ziel 4)</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 xml:space="preserve">Insgesamt die Hälfte der ca. 65 Mio. Kinder mit Behinderungen im Primär- und Mittelschulalter aus Ländern des Globalen Südens besucht keine Schule. In manchen Ländern kann sogar nur eines von zehn Kindern mit Behinderungen in eine Schule gehen. Dabei ist Bildung ein wichtiger Faktor um Armut und Ungleichheit entfliehen und ein selbstbestimmtes Leben führen zu können. </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Durch gleiche und erreichbare Bildungsmöglichkeiten für alle und die Schaffung eines inklusiven Lern</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umfelds soll Menschen mit Behinderungen eine hochwertige Bildung ermöglicht werden. Außer</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dem sollen diese in all ihren Bedürfnissen unterstützt werden. </w:t>
      </w:r>
    </w:p>
    <w:p w:rsidR="00643CD3" w:rsidRPr="008220A4" w:rsidRDefault="00643CD3" w:rsidP="00643CD3">
      <w:pPr>
        <w:jc w:val="both"/>
        <w:rPr>
          <w:rFonts w:ascii="Source Serif Pro" w:eastAsia="Times New Roman" w:hAnsi="Source Serif Pro"/>
          <w:b/>
          <w:color w:val="000000"/>
          <w:szCs w:val="22"/>
          <w:lang w:val="de-AT" w:eastAsia="de-DE"/>
        </w:rPr>
      </w:pPr>
      <w:r w:rsidRPr="008220A4">
        <w:rPr>
          <w:rFonts w:ascii="Source Serif Pro" w:eastAsia="Times New Roman" w:hAnsi="Source Serif Pro"/>
          <w:b/>
          <w:color w:val="000000"/>
          <w:szCs w:val="22"/>
          <w:lang w:val="de-AT" w:eastAsia="de-DE"/>
        </w:rPr>
        <w:t>Wirtschaftliche Entwicklung und Arbeit (Ziel 8)</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470 Mio. Menschen der Welt im arbeitsfähigen Alter haben eine Behinderung,  80-90% der Men</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schen mit Behinderungen in Ländern des Globalen Südens sind arbeitslos. So werden sie daran ge</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hindert, ein selbstbestimmtes Leben zu führen und in vielen Bereichen der Gesellschaft zu parti</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zi</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pieren. </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Inklusives Wachstum soll durch einen erleichterten Zugang zum Arbeitsmarkt für Menschen mit Behin</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der</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ungen erreicht und spezielle Trainings- und Ausbildungsmöglichkeiten geschaffen werden. </w:t>
      </w:r>
    </w:p>
    <w:p w:rsidR="00643CD3" w:rsidRPr="008220A4" w:rsidRDefault="00643CD3" w:rsidP="00643CD3">
      <w:pPr>
        <w:jc w:val="both"/>
        <w:rPr>
          <w:rFonts w:ascii="Source Serif Pro" w:eastAsia="Times New Roman" w:hAnsi="Source Serif Pro"/>
          <w:b/>
          <w:color w:val="000000"/>
          <w:szCs w:val="22"/>
          <w:lang w:val="de-AT" w:eastAsia="de-DE"/>
        </w:rPr>
      </w:pPr>
      <w:r w:rsidRPr="008220A4">
        <w:rPr>
          <w:rFonts w:ascii="Source Serif Pro" w:eastAsia="Times New Roman" w:hAnsi="Source Serif Pro"/>
          <w:b/>
          <w:color w:val="000000"/>
          <w:szCs w:val="22"/>
          <w:lang w:val="de-AT" w:eastAsia="de-DE"/>
        </w:rPr>
        <w:t>Weniger Ungleichheit (Ziel 10)</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Auch in Ziel 10, „Weniger Ungleichheit“ wird speziell auf Menschen mit Behinderungen eingegan</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gen. Diese werden oft diskriminiert, ungleich behandelt und in ihren Rechten verletzt. Soziale, institu</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tio</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nelle, physische und kommunikative Barrieren erschweren gleiche Chancen und exklu</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die</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ren Menschen mit Behinderungen im alltäglichen Leben. </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Soziale, ökonomische und politische Inklusion soll durch den Abbau jeglicher Barrieren erreicht werden. Die Bedürfnisse benachteiligter Gruppen müssen ernst genommen und eine inklusive Ge</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sell</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schaft auf allen Ebenen geschaffen werden. </w:t>
      </w:r>
    </w:p>
    <w:p w:rsidR="00643CD3" w:rsidRPr="008220A4" w:rsidRDefault="00643CD3" w:rsidP="00643CD3">
      <w:pPr>
        <w:jc w:val="both"/>
        <w:rPr>
          <w:rFonts w:ascii="Source Serif Pro" w:eastAsia="Times New Roman" w:hAnsi="Source Serif Pro"/>
          <w:b/>
          <w:color w:val="000000"/>
          <w:szCs w:val="22"/>
          <w:lang w:val="de-AT" w:eastAsia="de-DE"/>
        </w:rPr>
      </w:pPr>
      <w:r w:rsidRPr="008220A4">
        <w:rPr>
          <w:rFonts w:ascii="Source Serif Pro" w:eastAsia="Times New Roman" w:hAnsi="Source Serif Pro"/>
          <w:b/>
          <w:color w:val="000000"/>
          <w:szCs w:val="22"/>
          <w:lang w:val="de-AT" w:eastAsia="de-DE"/>
        </w:rPr>
        <w:t>Nachhaltige Städte und Gemeinden (Ziel 11)</w:t>
      </w:r>
    </w:p>
    <w:p w:rsidR="00643CD3"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Wohngebiete sind nur dann nachhaltig, wenn sie auf die Bedürfnisse ihrer BewohnerInnen zuge</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schnitten sind. Barrierefreie Städte und Gemeinden, leistbare und öffentliche Transportmittel, die für alle zugänglich sind und sichere, saubere öffentliche Grünflächen für alle können dazu beitra</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gen, den öffentliche Raum inklusiv zu gestalten. </w:t>
      </w:r>
    </w:p>
    <w:p w:rsidR="00643CD3" w:rsidRPr="008220A4" w:rsidRDefault="00643CD3" w:rsidP="00643CD3">
      <w:pPr>
        <w:jc w:val="both"/>
        <w:rPr>
          <w:rFonts w:ascii="Source Serif Pro" w:eastAsia="Times New Roman" w:hAnsi="Source Serif Pro"/>
          <w:b/>
          <w:color w:val="000000"/>
          <w:szCs w:val="22"/>
          <w:lang w:val="de-AT" w:eastAsia="de-DE"/>
        </w:rPr>
      </w:pPr>
      <w:r w:rsidRPr="008220A4">
        <w:rPr>
          <w:rFonts w:ascii="Source Serif Pro" w:eastAsia="Times New Roman" w:hAnsi="Source Serif Pro"/>
          <w:b/>
          <w:color w:val="000000"/>
          <w:szCs w:val="22"/>
          <w:lang w:val="de-AT" w:eastAsia="de-DE"/>
        </w:rPr>
        <w:t>Partnerschaften zur Erreichung der Ziele (Ziel 17)</w:t>
      </w:r>
    </w:p>
    <w:p w:rsidR="008220A4" w:rsidRPr="008220A4" w:rsidRDefault="00643CD3" w:rsidP="00643CD3">
      <w:pPr>
        <w:jc w:val="both"/>
        <w:rPr>
          <w:rFonts w:ascii="Source Serif Pro" w:eastAsia="Times New Roman" w:hAnsi="Source Serif Pro"/>
          <w:color w:val="000000"/>
          <w:szCs w:val="22"/>
          <w:lang w:val="de-AT" w:eastAsia="de-DE"/>
        </w:rPr>
      </w:pPr>
      <w:r w:rsidRPr="008220A4">
        <w:rPr>
          <w:rFonts w:ascii="Source Serif Pro" w:eastAsia="Times New Roman" w:hAnsi="Source Serif Pro"/>
          <w:color w:val="000000"/>
          <w:szCs w:val="22"/>
          <w:lang w:val="de-AT" w:eastAsia="de-DE"/>
        </w:rPr>
        <w:t>Die Umsetzung der Ziele kann nur dann gelingen, wenn verschiedene Partner, vor allem auch be</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nach</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tei</w:t>
      </w:r>
      <w:r w:rsidR="00286ADA">
        <w:rPr>
          <w:rFonts w:ascii="Source Serif Pro" w:eastAsia="Times New Roman" w:hAnsi="Source Serif Pro"/>
          <w:color w:val="000000"/>
          <w:szCs w:val="22"/>
          <w:lang w:val="de-AT" w:eastAsia="de-DE"/>
        </w:rPr>
        <w:softHyphen/>
      </w:r>
      <w:r w:rsidRPr="008220A4">
        <w:rPr>
          <w:rFonts w:ascii="Source Serif Pro" w:eastAsia="Times New Roman" w:hAnsi="Source Serif Pro"/>
          <w:color w:val="000000"/>
          <w:szCs w:val="22"/>
          <w:lang w:val="de-AT" w:eastAsia="de-DE"/>
        </w:rPr>
        <w:t xml:space="preserve">ligte Gruppen wie Menschen mit Behinderungen, auf allen Ebenen miteinbezogen werden. </w:t>
      </w:r>
    </w:p>
    <w:p w:rsidR="00643CD3" w:rsidRPr="008220A4" w:rsidRDefault="00643CD3" w:rsidP="00643CD3">
      <w:pPr>
        <w:jc w:val="both"/>
        <w:rPr>
          <w:rFonts w:ascii="Source Serif Pro" w:eastAsia="Times New Roman" w:hAnsi="Source Serif Pro"/>
          <w:b/>
          <w:color w:val="000000"/>
          <w:sz w:val="20"/>
          <w:szCs w:val="22"/>
          <w:lang w:val="de-AT" w:eastAsia="de-DE"/>
        </w:rPr>
      </w:pPr>
      <w:r w:rsidRPr="008220A4">
        <w:rPr>
          <w:rFonts w:ascii="Source Serif Pro" w:eastAsia="Times New Roman" w:hAnsi="Source Serif Pro"/>
          <w:b/>
          <w:color w:val="000000"/>
          <w:sz w:val="20"/>
          <w:szCs w:val="22"/>
          <w:lang w:val="de-AT" w:eastAsia="de-DE"/>
        </w:rPr>
        <w:t xml:space="preserve">Quellen: </w:t>
      </w:r>
    </w:p>
    <w:p w:rsidR="00643CD3" w:rsidRPr="008220A4" w:rsidRDefault="00643CD3" w:rsidP="00643CD3">
      <w:pPr>
        <w:jc w:val="both"/>
        <w:rPr>
          <w:rFonts w:ascii="Source Serif Pro" w:eastAsia="Times New Roman" w:hAnsi="Source Serif Pro"/>
          <w:color w:val="000000"/>
          <w:sz w:val="20"/>
          <w:szCs w:val="22"/>
          <w:lang w:val="de-AT" w:eastAsia="de-DE"/>
        </w:rPr>
      </w:pPr>
      <w:r w:rsidRPr="008220A4">
        <w:rPr>
          <w:rFonts w:ascii="Source Serif Pro" w:eastAsia="Times New Roman" w:hAnsi="Source Serif Pro"/>
          <w:color w:val="000000"/>
          <w:sz w:val="20"/>
          <w:szCs w:val="22"/>
          <w:lang w:val="de-AT" w:eastAsia="de-DE"/>
        </w:rPr>
        <w:t>Licht für die Welt (o.J.): SDGs - was ist das eigentlich? Wir erklären die neuen Entwicklungsziele der UN (</w:t>
      </w:r>
      <w:hyperlink r:id="rId8" w:history="1">
        <w:r w:rsidRPr="008220A4">
          <w:rPr>
            <w:rFonts w:eastAsia="Times New Roman"/>
            <w:color w:val="000000"/>
            <w:sz w:val="20"/>
            <w:szCs w:val="22"/>
            <w:lang w:val="de-AT" w:eastAsia="de-DE"/>
          </w:rPr>
          <w:t>https://www.licht-fuer-die-welt.at/sdgs-was-ist-das-eigentlich</w:t>
        </w:r>
      </w:hyperlink>
      <w:r w:rsidRPr="008220A4">
        <w:rPr>
          <w:rFonts w:ascii="Source Serif Pro" w:eastAsia="Times New Roman" w:hAnsi="Source Serif Pro"/>
          <w:color w:val="000000"/>
          <w:sz w:val="20"/>
          <w:szCs w:val="22"/>
          <w:lang w:val="de-AT" w:eastAsia="de-DE"/>
        </w:rPr>
        <w:t>)</w:t>
      </w:r>
    </w:p>
    <w:p w:rsidR="00643CD3" w:rsidRPr="008220A4" w:rsidRDefault="00643CD3" w:rsidP="00643CD3">
      <w:pPr>
        <w:jc w:val="both"/>
        <w:rPr>
          <w:rFonts w:ascii="Source Serif Pro" w:hAnsi="Source Serif Pro"/>
          <w:sz w:val="22"/>
          <w:vertAlign w:val="subscript"/>
          <w:lang w:val="en-GB"/>
        </w:rPr>
      </w:pPr>
      <w:r w:rsidRPr="008220A4">
        <w:rPr>
          <w:rFonts w:ascii="Source Serif Pro" w:hAnsi="Source Serif Pro"/>
          <w:sz w:val="16"/>
          <w:szCs w:val="18"/>
          <w:lang w:val="en-GB"/>
        </w:rPr>
        <w:t>Light for the World (o.J.): 2030 Sustainable Development Agenda. Spotlight on Disability. Briefing Paper</w:t>
      </w:r>
      <w:r w:rsidRPr="008220A4">
        <w:rPr>
          <w:rFonts w:ascii="Source Serif Pro" w:hAnsi="Source Serif Pro"/>
          <w:sz w:val="22"/>
          <w:vertAlign w:val="subscript"/>
          <w:lang w:val="en-GB"/>
        </w:rPr>
        <w:tab/>
      </w:r>
    </w:p>
    <w:p w:rsidR="008E5C54" w:rsidRPr="000C16E3" w:rsidRDefault="008E5C54" w:rsidP="00643CD3">
      <w:pPr>
        <w:jc w:val="both"/>
        <w:rPr>
          <w:rFonts w:ascii="Source Serif Pro" w:hAnsi="Source Serif Pro"/>
          <w:sz w:val="22"/>
          <w:szCs w:val="22"/>
          <w:lang w:val="de-AT"/>
        </w:rPr>
      </w:pPr>
    </w:p>
    <w:sectPr w:rsidR="008E5C54" w:rsidRPr="000C16E3" w:rsidSect="008E5C54">
      <w:headerReference w:type="even" r:id="rId9"/>
      <w:headerReference w:type="default" r:id="rId10"/>
      <w:footerReference w:type="default" r:id="rId11"/>
      <w:headerReference w:type="first" r:id="rId12"/>
      <w:pgSz w:w="11900" w:h="16840"/>
      <w:pgMar w:top="720" w:right="720" w:bottom="720" w:left="720" w:header="425" w:footer="7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B7" w:rsidRDefault="004951B7">
      <w:pPr>
        <w:spacing w:after="0"/>
      </w:pPr>
      <w:r>
        <w:separator/>
      </w:r>
    </w:p>
  </w:endnote>
  <w:endnote w:type="continuationSeparator" w:id="0">
    <w:p w:rsidR="004951B7" w:rsidRDefault="00495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erif Pro">
    <w:altName w:val="Century"/>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C1" w:rsidRDefault="00643CD3" w:rsidP="008E5C54">
    <w:pPr>
      <w:pStyle w:val="Fuzeile"/>
      <w:tabs>
        <w:tab w:val="clear" w:pos="4536"/>
        <w:tab w:val="clear" w:pos="9072"/>
        <w:tab w:val="left" w:pos="5520"/>
        <w:tab w:val="left" w:pos="8665"/>
        <w:tab w:val="right" w:pos="9064"/>
      </w:tabs>
    </w:pPr>
    <w:r>
      <w:rPr>
        <w:noProof/>
        <w:lang w:val="de-AT" w:eastAsia="de-AT"/>
      </w:rPr>
      <w:drawing>
        <wp:anchor distT="0" distB="0" distL="114300" distR="114300" simplePos="0" relativeHeight="251665408" behindDoc="0" locked="0" layoutInCell="1" allowOverlap="1">
          <wp:simplePos x="0" y="0"/>
          <wp:positionH relativeFrom="margin">
            <wp:align>left</wp:align>
          </wp:positionH>
          <wp:positionV relativeFrom="paragraph">
            <wp:posOffset>-78740</wp:posOffset>
          </wp:positionV>
          <wp:extent cx="2609850" cy="56769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27.jpg"/>
                  <pic:cNvPicPr/>
                </pic:nvPicPr>
                <pic:blipFill>
                  <a:blip r:embed="rId1">
                    <a:extLst>
                      <a:ext uri="{28A0092B-C50C-407E-A947-70E740481C1C}">
                        <a14:useLocalDpi xmlns:a14="http://schemas.microsoft.com/office/drawing/2010/main" val="0"/>
                      </a:ext>
                    </a:extLst>
                  </a:blip>
                  <a:stretch>
                    <a:fillRect/>
                  </a:stretch>
                </pic:blipFill>
                <pic:spPr>
                  <a:xfrm>
                    <a:off x="0" y="0"/>
                    <a:ext cx="2609850" cy="567690"/>
                  </a:xfrm>
                  <a:prstGeom prst="rect">
                    <a:avLst/>
                  </a:prstGeom>
                </pic:spPr>
              </pic:pic>
            </a:graphicData>
          </a:graphic>
          <wp14:sizeRelH relativeFrom="page">
            <wp14:pctWidth>0</wp14:pctWidth>
          </wp14:sizeRelH>
          <wp14:sizeRelV relativeFrom="page">
            <wp14:pctHeight>0</wp14:pctHeight>
          </wp14:sizeRelV>
        </wp:anchor>
      </w:drawing>
    </w:r>
    <w:r w:rsidR="008E5C54">
      <w:rPr>
        <w:noProof/>
        <w:lang w:val="de-AT" w:eastAsia="de-AT"/>
      </w:rPr>
      <w:drawing>
        <wp:anchor distT="0" distB="0" distL="114300" distR="114300" simplePos="0" relativeHeight="251656192" behindDoc="1" locked="0" layoutInCell="1" allowOverlap="1" wp14:anchorId="57394A5C" wp14:editId="4BE69479">
          <wp:simplePos x="0" y="0"/>
          <wp:positionH relativeFrom="margin">
            <wp:posOffset>4962063</wp:posOffset>
          </wp:positionH>
          <wp:positionV relativeFrom="page">
            <wp:posOffset>9617480</wp:posOffset>
          </wp:positionV>
          <wp:extent cx="2015840" cy="1018200"/>
          <wp:effectExtent l="0" t="0" r="3810" b="0"/>
          <wp:wrapNone/>
          <wp:docPr id="18" name="Bild 18" descr="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5840" cy="1018200"/>
                  </a:xfrm>
                  <a:prstGeom prst="rect">
                    <a:avLst/>
                  </a:prstGeom>
                  <a:noFill/>
                </pic:spPr>
              </pic:pic>
            </a:graphicData>
          </a:graphic>
          <wp14:sizeRelH relativeFrom="page">
            <wp14:pctWidth>0</wp14:pctWidth>
          </wp14:sizeRelH>
          <wp14:sizeRelV relativeFrom="page">
            <wp14:pctHeight>0</wp14:pctHeight>
          </wp14:sizeRelV>
        </wp:anchor>
      </w:drawing>
    </w:r>
    <w:r w:rsidR="008E5C54">
      <w:rPr>
        <w:noProof/>
        <w:lang w:val="de-AT" w:eastAsia="de-AT"/>
      </w:rPr>
      <w:drawing>
        <wp:anchor distT="0" distB="0" distL="114300" distR="114300" simplePos="0" relativeHeight="251664384" behindDoc="1" locked="0" layoutInCell="1" allowOverlap="1" wp14:anchorId="286941A7" wp14:editId="69087317">
          <wp:simplePos x="0" y="0"/>
          <wp:positionH relativeFrom="column">
            <wp:posOffset>5470525</wp:posOffset>
          </wp:positionH>
          <wp:positionV relativeFrom="paragraph">
            <wp:posOffset>21244</wp:posOffset>
          </wp:positionV>
          <wp:extent cx="1163210" cy="445122"/>
          <wp:effectExtent l="0" t="0" r="0" b="0"/>
          <wp:wrapNone/>
          <wp:docPr id="29" name="Bild 29" descr="SW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W_Wi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210" cy="445122"/>
                  </a:xfrm>
                  <a:prstGeom prst="rect">
                    <a:avLst/>
                  </a:prstGeom>
                  <a:noFill/>
                </pic:spPr>
              </pic:pic>
            </a:graphicData>
          </a:graphic>
          <wp14:sizeRelH relativeFrom="page">
            <wp14:pctWidth>0</wp14:pctWidth>
          </wp14:sizeRelH>
          <wp14:sizeRelV relativeFrom="page">
            <wp14:pctHeight>0</wp14:pctHeight>
          </wp14:sizeRelV>
        </wp:anchor>
      </w:drawing>
    </w:r>
    <w:r w:rsidR="004951B7">
      <w:rPr>
        <w:noProof/>
        <w:lang w:val="de-AT" w:eastAsia="de-AT"/>
      </w:rPr>
      <w:drawing>
        <wp:anchor distT="0" distB="0" distL="114300" distR="114300" simplePos="0" relativeHeight="251652096" behindDoc="1" locked="0" layoutInCell="1" allowOverlap="1">
          <wp:simplePos x="0" y="0"/>
          <wp:positionH relativeFrom="column">
            <wp:align>left</wp:align>
          </wp:positionH>
          <wp:positionV relativeFrom="paragraph">
            <wp:posOffset>9587865</wp:posOffset>
          </wp:positionV>
          <wp:extent cx="7594600" cy="622300"/>
          <wp:effectExtent l="0" t="0" r="6350" b="6350"/>
          <wp:wrapNone/>
          <wp:docPr id="10" name="Bild 10" descr="brieffuß_2015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fuß_2015 Kop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0" cy="622300"/>
                  </a:xfrm>
                  <a:prstGeom prst="rect">
                    <a:avLst/>
                  </a:prstGeom>
                  <a:noFill/>
                </pic:spPr>
              </pic:pic>
            </a:graphicData>
          </a:graphic>
          <wp14:sizeRelH relativeFrom="page">
            <wp14:pctWidth>0</wp14:pctWidth>
          </wp14:sizeRelH>
          <wp14:sizeRelV relativeFrom="page">
            <wp14:pctHeight>0</wp14:pctHeight>
          </wp14:sizeRelV>
        </wp:anchor>
      </w:drawing>
    </w:r>
    <w:r w:rsidR="004951B7">
      <w:rPr>
        <w:noProof/>
        <w:lang w:val="de-AT" w:eastAsia="de-AT"/>
      </w:rPr>
      <w:drawing>
        <wp:anchor distT="0" distB="0" distL="114300" distR="114300" simplePos="0" relativeHeight="251654144" behindDoc="1" locked="0" layoutInCell="1" allowOverlap="1">
          <wp:simplePos x="0" y="0"/>
          <wp:positionH relativeFrom="column">
            <wp:posOffset>900430</wp:posOffset>
          </wp:positionH>
          <wp:positionV relativeFrom="paragraph">
            <wp:posOffset>9738995</wp:posOffset>
          </wp:positionV>
          <wp:extent cx="7594600" cy="622300"/>
          <wp:effectExtent l="0" t="0" r="6350" b="6350"/>
          <wp:wrapNone/>
          <wp:docPr id="12" name="Bild 12" descr="brieffuß_2015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fuß_2015 Kop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0" cy="622300"/>
                  </a:xfrm>
                  <a:prstGeom prst="rect">
                    <a:avLst/>
                  </a:prstGeom>
                  <a:noFill/>
                </pic:spPr>
              </pic:pic>
            </a:graphicData>
          </a:graphic>
          <wp14:sizeRelH relativeFrom="page">
            <wp14:pctWidth>0</wp14:pctWidth>
          </wp14:sizeRelH>
          <wp14:sizeRelV relativeFrom="page">
            <wp14:pctHeight>0</wp14:pctHeight>
          </wp14:sizeRelV>
        </wp:anchor>
      </w:drawing>
    </w:r>
    <w:r w:rsidR="006F01C1">
      <w:tab/>
    </w:r>
    <w:r w:rsidR="004951B7">
      <w:rPr>
        <w:noProof/>
        <w:lang w:val="de-AT" w:eastAsia="de-AT"/>
      </w:rPr>
      <w:drawing>
        <wp:anchor distT="0" distB="0" distL="114300" distR="114300" simplePos="0" relativeHeight="251658240" behindDoc="1" locked="0" layoutInCell="1" allowOverlap="1">
          <wp:simplePos x="0" y="0"/>
          <wp:positionH relativeFrom="column">
            <wp:posOffset>900430</wp:posOffset>
          </wp:positionH>
          <wp:positionV relativeFrom="paragraph">
            <wp:posOffset>8089900</wp:posOffset>
          </wp:positionV>
          <wp:extent cx="5753100" cy="2120900"/>
          <wp:effectExtent l="0" t="0" r="0" b="0"/>
          <wp:wrapNone/>
          <wp:docPr id="19" name="Bild 19" descr="briefkopf_WZ_logo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iefkopf_WZ_logo Ko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120900"/>
                  </a:xfrm>
                  <a:prstGeom prst="rect">
                    <a:avLst/>
                  </a:prstGeom>
                  <a:noFill/>
                </pic:spPr>
              </pic:pic>
            </a:graphicData>
          </a:graphic>
          <wp14:sizeRelH relativeFrom="page">
            <wp14:pctWidth>0</wp14:pctWidth>
          </wp14:sizeRelH>
          <wp14:sizeRelV relativeFrom="page">
            <wp14:pctHeight>0</wp14:pctHeight>
          </wp14:sizeRelV>
        </wp:anchor>
      </w:drawing>
    </w:r>
    <w:r w:rsidR="00B57BB7">
      <w:tab/>
    </w:r>
    <w:r w:rsidR="008E5C5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B7" w:rsidRDefault="004951B7">
      <w:pPr>
        <w:spacing w:after="0"/>
      </w:pPr>
      <w:r>
        <w:separator/>
      </w:r>
    </w:p>
  </w:footnote>
  <w:footnote w:type="continuationSeparator" w:id="0">
    <w:p w:rsidR="004951B7" w:rsidRDefault="004951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C1" w:rsidRDefault="00D1224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2.35pt;height:508.65pt;z-index:-251662848;mso-wrap-edited:f;mso-position-horizontal:center;mso-position-horizontal-relative:margin;mso-position-vertical:center;mso-position-vertical-relative:margin" wrapcoords="-35 0 -35 21536 21599 21536 21599 0 -35 0">
          <v:imagedata r:id="rId1" o:title="Briefpapier_Forschungsinstitut_w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C1" w:rsidRDefault="004951B7" w:rsidP="006F01C1">
    <w:pPr>
      <w:pStyle w:val="Kopfzeile"/>
      <w:jc w:val="center"/>
    </w:pPr>
    <w:r>
      <w:rPr>
        <w:noProof/>
        <w:lang w:val="de-AT" w:eastAsia="de-AT"/>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0310" cy="527685"/>
          <wp:effectExtent l="0" t="0" r="2540" b="5715"/>
          <wp:wrapNone/>
          <wp:docPr id="17" name="Bild 17" descr="briefkopf_WZ_2016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efkopf_WZ_2016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276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C1" w:rsidRDefault="00D1224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2.35pt;height:508.65pt;z-index:-251661824;mso-wrap-edited:f;mso-position-horizontal:center;mso-position-horizontal-relative:margin;mso-position-vertical:center;mso-position-vertical-relative:margin" wrapcoords="-35 0 -35 21536 21599 21536 21599 0 -35 0">
          <v:imagedata r:id="rId1" o:title="Briefpapier_Forschungsinstitut_w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4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942418"/>
    <w:lvl w:ilvl="0">
      <w:start w:val="1"/>
      <w:numFmt w:val="decimal"/>
      <w:lvlText w:val="%1."/>
      <w:lvlJc w:val="left"/>
      <w:pPr>
        <w:tabs>
          <w:tab w:val="num" w:pos="1492"/>
        </w:tabs>
        <w:ind w:left="1492" w:hanging="360"/>
      </w:pPr>
    </w:lvl>
  </w:abstractNum>
  <w:abstractNum w:abstractNumId="2">
    <w:nsid w:val="FFFFFF7D"/>
    <w:multiLevelType w:val="singleLevel"/>
    <w:tmpl w:val="80A8547A"/>
    <w:lvl w:ilvl="0">
      <w:start w:val="1"/>
      <w:numFmt w:val="decimal"/>
      <w:lvlText w:val="%1."/>
      <w:lvlJc w:val="left"/>
      <w:pPr>
        <w:tabs>
          <w:tab w:val="num" w:pos="1209"/>
        </w:tabs>
        <w:ind w:left="1209" w:hanging="360"/>
      </w:pPr>
    </w:lvl>
  </w:abstractNum>
  <w:abstractNum w:abstractNumId="3">
    <w:nsid w:val="FFFFFF7E"/>
    <w:multiLevelType w:val="singleLevel"/>
    <w:tmpl w:val="189ED470"/>
    <w:lvl w:ilvl="0">
      <w:start w:val="1"/>
      <w:numFmt w:val="decimal"/>
      <w:lvlText w:val="%1."/>
      <w:lvlJc w:val="left"/>
      <w:pPr>
        <w:tabs>
          <w:tab w:val="num" w:pos="926"/>
        </w:tabs>
        <w:ind w:left="926" w:hanging="360"/>
      </w:pPr>
    </w:lvl>
  </w:abstractNum>
  <w:abstractNum w:abstractNumId="4">
    <w:nsid w:val="FFFFFF7F"/>
    <w:multiLevelType w:val="singleLevel"/>
    <w:tmpl w:val="BA3C1594"/>
    <w:lvl w:ilvl="0">
      <w:start w:val="1"/>
      <w:numFmt w:val="decimal"/>
      <w:lvlText w:val="%1."/>
      <w:lvlJc w:val="left"/>
      <w:pPr>
        <w:tabs>
          <w:tab w:val="num" w:pos="643"/>
        </w:tabs>
        <w:ind w:left="643" w:hanging="360"/>
      </w:pPr>
    </w:lvl>
  </w:abstractNum>
  <w:abstractNum w:abstractNumId="5">
    <w:nsid w:val="FFFFFF80"/>
    <w:multiLevelType w:val="singleLevel"/>
    <w:tmpl w:val="903835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3218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92E352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0E82E0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E92B2F4"/>
    <w:lvl w:ilvl="0">
      <w:start w:val="1"/>
      <w:numFmt w:val="decimal"/>
      <w:lvlText w:val="%1."/>
      <w:lvlJc w:val="left"/>
      <w:pPr>
        <w:tabs>
          <w:tab w:val="num" w:pos="360"/>
        </w:tabs>
        <w:ind w:left="360" w:hanging="360"/>
      </w:pPr>
    </w:lvl>
  </w:abstractNum>
  <w:abstractNum w:abstractNumId="10">
    <w:nsid w:val="FFFFFF89"/>
    <w:multiLevelType w:val="singleLevel"/>
    <w:tmpl w:val="00F8851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B7"/>
    <w:rsid w:val="000C5459"/>
    <w:rsid w:val="00286223"/>
    <w:rsid w:val="00286ADA"/>
    <w:rsid w:val="002E44A6"/>
    <w:rsid w:val="0034316E"/>
    <w:rsid w:val="00380482"/>
    <w:rsid w:val="003E3CE3"/>
    <w:rsid w:val="004951B7"/>
    <w:rsid w:val="005228E4"/>
    <w:rsid w:val="00544C82"/>
    <w:rsid w:val="0063352E"/>
    <w:rsid w:val="00643CD3"/>
    <w:rsid w:val="006F01C1"/>
    <w:rsid w:val="008220A4"/>
    <w:rsid w:val="00850870"/>
    <w:rsid w:val="0086546C"/>
    <w:rsid w:val="008E397E"/>
    <w:rsid w:val="008E5C54"/>
    <w:rsid w:val="009067E8"/>
    <w:rsid w:val="00A64B62"/>
    <w:rsid w:val="00B57BB7"/>
    <w:rsid w:val="00C8358B"/>
    <w:rsid w:val="00D12240"/>
    <w:rsid w:val="00D44B6F"/>
    <w:rsid w:val="00D46D07"/>
    <w:rsid w:val="00DD4B79"/>
    <w:rsid w:val="00E56D13"/>
    <w:rsid w:val="00F90181"/>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E3CE0AC2-8D8D-4662-830A-44A81495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5611"/>
    <w:pPr>
      <w:spacing w:after="200"/>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56D13"/>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E56D13"/>
  </w:style>
  <w:style w:type="paragraph" w:styleId="Fuzeile">
    <w:name w:val="footer"/>
    <w:basedOn w:val="Standard"/>
    <w:link w:val="FuzeileZchn"/>
    <w:uiPriority w:val="99"/>
    <w:unhideWhenUsed/>
    <w:rsid w:val="00E56D13"/>
    <w:pPr>
      <w:tabs>
        <w:tab w:val="center" w:pos="4536"/>
        <w:tab w:val="right" w:pos="9072"/>
      </w:tabs>
      <w:spacing w:after="0"/>
    </w:pPr>
  </w:style>
  <w:style w:type="character" w:customStyle="1" w:styleId="FuzeileZchn">
    <w:name w:val="Fußzeile Zchn"/>
    <w:basedOn w:val="Absatz-Standardschriftart"/>
    <w:link w:val="Fuzeile"/>
    <w:uiPriority w:val="99"/>
    <w:rsid w:val="00E56D13"/>
  </w:style>
  <w:style w:type="character" w:styleId="Hyperlink">
    <w:name w:val="Hyperlink"/>
    <w:uiPriority w:val="99"/>
    <w:unhideWhenUsed/>
    <w:rsid w:val="0034316E"/>
    <w:rPr>
      <w:color w:val="0563C1"/>
      <w:u w:val="single"/>
    </w:rPr>
  </w:style>
  <w:style w:type="paragraph" w:styleId="Sprechblasentext">
    <w:name w:val="Balloon Text"/>
    <w:basedOn w:val="Standard"/>
    <w:link w:val="SprechblasentextZchn"/>
    <w:uiPriority w:val="99"/>
    <w:semiHidden/>
    <w:unhideWhenUsed/>
    <w:rsid w:val="00643CD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CD3"/>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icht-fuer-die-welt.at/sdgs-was-ist-das-eigentli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Treitler</dc:creator>
  <cp:lastModifiedBy>Ziviwien</cp:lastModifiedBy>
  <cp:revision>5</cp:revision>
  <cp:lastPrinted>2017-12-01T11:04:00Z</cp:lastPrinted>
  <dcterms:created xsi:type="dcterms:W3CDTF">2017-12-01T10:52:00Z</dcterms:created>
  <dcterms:modified xsi:type="dcterms:W3CDTF">2017-12-01T11:12:00Z</dcterms:modified>
</cp:coreProperties>
</file>